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Times New Roman"/>
          <w:b/>
          <w:sz w:val="44"/>
          <w:szCs w:val="44"/>
        </w:rPr>
      </w:pPr>
      <w:r>
        <w:rPr>
          <w:rFonts w:hint="eastAsia" w:ascii="新宋体" w:hAnsi="新宋体" w:eastAsia="新宋体" w:cs="Times New Roman"/>
          <w:b/>
          <w:sz w:val="44"/>
          <w:szCs w:val="44"/>
        </w:rPr>
        <w:t>满足企业需求  双向融合发展</w:t>
      </w:r>
    </w:p>
    <w:p>
      <w:pPr>
        <w:spacing w:line="500" w:lineRule="exact"/>
        <w:jc w:val="center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兖州煤业安全技能培训中心</w:t>
      </w:r>
      <w:bookmarkStart w:id="0" w:name="_GoBack"/>
      <w:bookmarkEnd w:id="0"/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兖州煤业安全技能培训中心（简称“安技中心”）是兖矿集团所属的综合性职业教育培训机构，拥有山东兖矿技师学院、兖矿集团党校、兖州矿区职工大学、中国煤炭环保安全培训中心等多个办学主体，具有技师技工教育、安全培训、职业培训、技能鉴定、党员干部教育、成人继续教育、高技能人才培训、山东省“金蓝领”技师培训等教育培训资质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安技中心按照《国家职业教育改革实施方案》精神，安技中心积极探索，从四个方面进行实践。</w:t>
      </w:r>
    </w:p>
    <w:p>
      <w:pPr>
        <w:spacing w:line="42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形成校企合作长效机制，融合创新培养高技能人才。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安技中心作为企业办学组织，具有产教融合（校企合作）的天然优势。依托兖矿集团，安技中心为企业和社会培养了大量高技能人才，为兖矿集团和区域经济发展做出了突出贡献。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1.建章立制，形成校企合作长效制度体系。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安技中心编制《关于开展校企合作的指导意见》，为校企合作制度化、规范化提供了保证。成立校企联谊会，每个与安技中心签订协议的合作企业均为会员单位。平时通过校企间的相互走访、考察、教学合作，开展安技中心与合作企业的相关活动，增强与企业的沟通和联系，使各种校企合作模式能够长期稳健地运行。安技中心紧密联系社会各界，形成了中心与社会双向参与、双向服务的良性机制，有效促进了教学质量和办学效益的提高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2.融入企业，制定技能人才培养计划推动培训工作。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在安技中心参与下，兖矿集团每年度均提前汇总矿处及各职能部室培训需求，综合制定职工教育培训计划，仅此项既能创造年逾2万人次的培训生源。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参与制定兖矿集团的金蓝领、在职技师等高技能人才专项培养计划，并在安技中心落地实施。安技中心逐步夯实高技能人才培养的基础，先后为兖矿集团和周边企业培养各类中高级工、技师、高级技师等技术人才万余名。</w:t>
      </w:r>
    </w:p>
    <w:p>
      <w:pPr>
        <w:spacing w:line="42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优化专业布局，对接行业地区发展人才需求。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1.“变招工为招生”，满足企业高技能工人需要。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针对兖矿集团高技能工人队伍培养需要，推动兖矿集团“变招工为招生”政策落地。为兖矿集团定向培养矿山机电、测量、通风三个专业委培班，面向社会从大中专（含本科）、技校（高中）毕业生中招收220名学生，为煤炭一线生产建设积蓄了后备力量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2.面向社会，联合培养“适销对路”的技能人才。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安技中心通过校企合作、订单委培、校校联合等方式，推进技能人才多层次培养。与相关企业、单位合作开办民航服务、电力委培工作。打通中等、高等职业教育桥梁，对口开办幼师、高铁乘务等专业升学班。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3.形成特色专业体系。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优化技工专业布局，夯实以综合机械化采煤专业为核心的骨干专业群建设，构建以电子商务、会计、市场营销等专业为核心的经管专业群，开发了高铁乘务、旅游管理、剧务管理、学前教育、护理等新专业，新专业体系的建设初见成效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安技中心 “综合机械化采煤”和“机电一体化”专业2008年被评为山东省名牌重点专业，“井下电钳”、“数控”和“焊接”专业2009年被评为济宁市名牌专业，“电气自动化设备安装与维修”和“数控加工”专业2011年被评为济宁市名牌专业，2014年，“综合机械化采煤”专业群被评为省级示范专业群。机电设备安装与维修、汽车维修、火电厂热力设备运行与检修专业分别与2017、2018、2019年被济宁市评为特色专业。</w:t>
      </w:r>
    </w:p>
    <w:p>
      <w:pPr>
        <w:spacing w:line="42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创新提出“四师型”队伍建设，打造高素质教师队伍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1.创新队伍建设理念，适应职业教育需要。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安技中心突破“双师”建设标准，强调职业教育培训需要师资力量具有更为高超的专业技能，创新性提出“四师”要求。通过选拔优秀教师参加心理咨询师、企业培训师、电子商务师培训及各职业工种技能资格考试，培养和建立一支高水平、高质量的“四师型”教师队伍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2.多措并举，量质并重。 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首要是着重抓好心理咨询师培训与考证工作。学院单列费用对考试与培训成本进行支持，按照倾向于一线、倾向于骨干教师的原则，组织开展了心理咨询师培训。共146名教师参加培训。组织教师两次参加心理咨询师考试，142人取得心理咨询师证书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组织教师做好技能资格鉴定工作。组织教师参加职业技能鉴定，仅2018年既有35名教师报名参加，取得高级技师4人，技师6人，高级工16人，中级工9人。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3.“四师型”教师队伍建设初见成效。目前我校一体化教师224人，占教师总数的82.1%。“四师”型教师人数达到20人，“三师”人数为63人。全国煤炭职业院校煤炭专业带头人2人、兖矿集团十佳培训师6人、济宁市技能大师3人。</w:t>
      </w:r>
    </w:p>
    <w:p>
      <w:pPr>
        <w:spacing w:line="42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围绕服务企业重点，教学设施设备建设突出煤炭特色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1. 针对行业需要，重点建设煤矿模拟工作面和心理学实验室。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针对煤矿行业特殊培养要求，安技中心建设有总面积为1500㎡模拟煤矿综采工作面具有井下全部模拟实习操作和井上监控功能，成为“华东地区煤炭院校兖州实习中心”。并针对煤炭行业工作特殊性，心理问题较为突出的实际，建立了煤炭系统首家煤矿安全心理学实验室，提供教学、咨询、指导、实验、测试等业务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2.满足培训需要，抓好教学资源建设。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安技中心以培养优秀技术工人、高技能人才为自身定位和发展目标，加大实训设施的配备力度。拥有与现代中级、高级职业技术教育相适应的各种技能训练设施，包括电工电子、PLC、汽车检测与维修、物理、化学、会计电算化等各类实验室43个，综采、数控、机加工、焊接、电工、钳工等实习车间56个，拥有校外实训基地20余家。拥有煤化工、机电一体化等专业模拟仿真设备27套。机电、汽车检修、焊接、综采、数控等专业课程均实现了一体化教学。现有多媒体教室63个，多媒体计算机房12个，计算机717台。教学楼、学生公寓、食堂、澡堂、卫生所、体育场、会议厅、学术报告厅等教学、生活服务、文体娱乐设施配套齐全，满足了高技能人才培养的需要。</w:t>
      </w:r>
    </w:p>
    <w:p>
      <w:pPr>
        <w:spacing w:line="42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安技培训中心坚持科学治校和内涵建设，创新发展理念和管理模式，强化校企合作，深化产教融合，有效破解制约困难，稳步提升办学水平，为服务人才职业能力提升和区域经济社会发展发挥了积极的作用，多次获得全国煤炭教育先进个人等荣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6D3"/>
    <w:rsid w:val="00032A53"/>
    <w:rsid w:val="00057D6D"/>
    <w:rsid w:val="000633A7"/>
    <w:rsid w:val="000664B4"/>
    <w:rsid w:val="00110102"/>
    <w:rsid w:val="00125624"/>
    <w:rsid w:val="001A0232"/>
    <w:rsid w:val="002619E0"/>
    <w:rsid w:val="0028551F"/>
    <w:rsid w:val="002A781C"/>
    <w:rsid w:val="002B3529"/>
    <w:rsid w:val="002E66F4"/>
    <w:rsid w:val="003458CD"/>
    <w:rsid w:val="003B580E"/>
    <w:rsid w:val="0040124C"/>
    <w:rsid w:val="004A0D52"/>
    <w:rsid w:val="004E6ED5"/>
    <w:rsid w:val="00532E30"/>
    <w:rsid w:val="005916E7"/>
    <w:rsid w:val="005A7DD3"/>
    <w:rsid w:val="005E4FB4"/>
    <w:rsid w:val="005F2E18"/>
    <w:rsid w:val="00650E39"/>
    <w:rsid w:val="0068102D"/>
    <w:rsid w:val="00746D0B"/>
    <w:rsid w:val="00747A43"/>
    <w:rsid w:val="00772BF2"/>
    <w:rsid w:val="00795FFC"/>
    <w:rsid w:val="008014A3"/>
    <w:rsid w:val="008143B2"/>
    <w:rsid w:val="00815C68"/>
    <w:rsid w:val="00840DB0"/>
    <w:rsid w:val="00853400"/>
    <w:rsid w:val="008539BD"/>
    <w:rsid w:val="00863926"/>
    <w:rsid w:val="0086477B"/>
    <w:rsid w:val="00873F74"/>
    <w:rsid w:val="00875528"/>
    <w:rsid w:val="00881499"/>
    <w:rsid w:val="008A2264"/>
    <w:rsid w:val="008A266D"/>
    <w:rsid w:val="008A45BA"/>
    <w:rsid w:val="008A60EE"/>
    <w:rsid w:val="008C33DB"/>
    <w:rsid w:val="008E1100"/>
    <w:rsid w:val="009A40E3"/>
    <w:rsid w:val="009C4693"/>
    <w:rsid w:val="009F5018"/>
    <w:rsid w:val="00A33B94"/>
    <w:rsid w:val="00A90FD0"/>
    <w:rsid w:val="00AA7CDA"/>
    <w:rsid w:val="00AB589E"/>
    <w:rsid w:val="00AC46D3"/>
    <w:rsid w:val="00AC6D4B"/>
    <w:rsid w:val="00AE6827"/>
    <w:rsid w:val="00B033D4"/>
    <w:rsid w:val="00B12188"/>
    <w:rsid w:val="00B14997"/>
    <w:rsid w:val="00B371F9"/>
    <w:rsid w:val="00BB3BA4"/>
    <w:rsid w:val="00BB431E"/>
    <w:rsid w:val="00BB7DEB"/>
    <w:rsid w:val="00BC2ED5"/>
    <w:rsid w:val="00BD716D"/>
    <w:rsid w:val="00C55374"/>
    <w:rsid w:val="00D67DDB"/>
    <w:rsid w:val="00D70E50"/>
    <w:rsid w:val="00DC689A"/>
    <w:rsid w:val="00E45C05"/>
    <w:rsid w:val="00E631E1"/>
    <w:rsid w:val="00E63BBE"/>
    <w:rsid w:val="00E63F41"/>
    <w:rsid w:val="00EC08D7"/>
    <w:rsid w:val="00EC709C"/>
    <w:rsid w:val="00EE00CC"/>
    <w:rsid w:val="00EF39B6"/>
    <w:rsid w:val="00F05D53"/>
    <w:rsid w:val="00F339B5"/>
    <w:rsid w:val="00F34885"/>
    <w:rsid w:val="00F47317"/>
    <w:rsid w:val="00F71B2F"/>
    <w:rsid w:val="00FC4402"/>
    <w:rsid w:val="0EE248A0"/>
    <w:rsid w:val="4E4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2019-12-18T12:02:00Z</dcterms:created>
  <dc:creator>孔光宇</dc:creator>
  <cp:lastModifiedBy>lenovo</cp:lastModifiedBy>
  <dcterms:modified xsi:type="dcterms:W3CDTF">2019-12-23T05:11:57Z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